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ZAKRES MATERIAŁU, WYMAGANIA EDUKACYJNE, SPOSOBY SPRAWDZANIA OSIĄGNIĘĆ EDUKACYJNYCH UCZNIÓW, WARUNKI UZYSKANIA OCENY ROCZNEJ WYŻSZEJ NIŻ PRZEWIDYWANA Z MATEMATYKI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KLASA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ROK SZKOLNY 20</w:t>
      </w:r>
      <w:r>
        <w:rPr>
          <w:rFonts w:cs="Times New Roman" w:ascii="Times New Roman" w:hAnsi="Times New Roman"/>
          <w:b/>
          <w:bCs/>
          <w:color w:val="000000" w:themeColor="text1"/>
        </w:rPr>
        <w:t>20</w:t>
      </w:r>
      <w:r>
        <w:rPr>
          <w:rFonts w:cs="Times New Roman" w:ascii="Times New Roman" w:hAnsi="Times New Roman"/>
          <w:b/>
          <w:bCs/>
          <w:color w:val="000000" w:themeColor="text1"/>
        </w:rPr>
        <w:t>/202</w:t>
      </w:r>
      <w:r>
        <w:rPr>
          <w:rFonts w:cs="Times New Roman" w:ascii="Times New Roman" w:hAnsi="Times New Roman"/>
          <w:b/>
          <w:bCs/>
          <w:color w:val="000000" w:themeColor="text1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Paragraf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 XII LO, § 102.1.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Nauczyciele do 30 września każdego roku szkolnego informują uczniów oraz ich rodziców o:</w:t>
      </w:r>
    </w:p>
    <w:p>
      <w:pPr>
        <w:pStyle w:val="Normal"/>
        <w:numPr>
          <w:ilvl w:val="1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wymaganiach edukacyjnych niezbędnych do uzyskania poszczególnych śródrocznych i rocznych ocen klasyfikacyjnych z obowiązkowych i dodatkowych zajęć edukacyjnych, wynikających z realizowanego przez siebie programu nauczania;</w:t>
      </w:r>
    </w:p>
    <w:p>
      <w:pPr>
        <w:pStyle w:val="Normal"/>
        <w:numPr>
          <w:ilvl w:val="1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sposobach sprawdzania osiągnięć edukacyjnych uczniów;</w:t>
      </w:r>
    </w:p>
    <w:p>
      <w:pPr>
        <w:pStyle w:val="Normal"/>
        <w:numPr>
          <w:ilvl w:val="1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warunkach i trybie uzyskania wyższej niż przewidywana rocznej oceny klasyfikacyjnej z obowiązkowych</w:t>
        <w:br/>
        <w:t>i dodatkowych zajęć edukacyjnych.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ZAKRES MATERIAŁU, WYMAGANIA EDUKACYJNE NA POSZCZEGÓLNE OCENY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ZAKRES MATERIAŁU dla klasy 3E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/>
          <w:b/>
          <w:color w:val="000000" w:themeColor="text1"/>
        </w:rPr>
      </w:pPr>
      <w:r>
        <w:rPr>
          <w:rFonts w:eastAsia="Times New Roman" w:cs="Times New Roman" w:ascii="Times New Roman" w:hAnsi="Times New Roman"/>
          <w:b/>
          <w:color w:val="000000" w:themeColor="text1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cs="Times New Roman" w:ascii="Times New Roman" w:hAnsi="Times New Roman"/>
          <w:b/>
        </w:rPr>
        <w:t>I. Rachunek prawdopodobieństwa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Reguła mnożenia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Permutacje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Wariacje bez powtórzeń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Wariacje z powtórzeniami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Reguła dodawania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 xml:space="preserve">Zdarzenia losowe 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 xml:space="preserve">Prawdopodobieństwo klasyczne 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 xml:space="preserve">Prawdopodobieństwo klasyczne – zadania 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Rozkład prawdopodobieństwa</w:t>
      </w:r>
    </w:p>
    <w:p>
      <w:pPr>
        <w:pStyle w:val="Normal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</w:rPr>
        <w:t>Własności prawdopodobieństwa</w:t>
      </w:r>
    </w:p>
    <w:p>
      <w:pPr>
        <w:pStyle w:val="Normal"/>
        <w:ind w:left="14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/>
        </w:rPr>
        <w:t>II. Statystyka</w:t>
      </w:r>
    </w:p>
    <w:p>
      <w:pPr>
        <w:pStyle w:val="Normal"/>
        <w:numPr>
          <w:ilvl w:val="0"/>
          <w:numId w:val="25"/>
        </w:numPr>
        <w:rPr/>
      </w:pPr>
      <w:r>
        <w:rPr>
          <w:rFonts w:eastAsia="Times New Roman" w:cs="Times New Roman" w:ascii="Times New Roman" w:hAnsi="Times New Roman"/>
        </w:rPr>
        <w:t>Średnia arytmetyczna</w:t>
      </w:r>
    </w:p>
    <w:p>
      <w:pPr>
        <w:pStyle w:val="Normal"/>
        <w:numPr>
          <w:ilvl w:val="0"/>
          <w:numId w:val="25"/>
        </w:numPr>
        <w:rPr/>
      </w:pPr>
      <w:r>
        <w:rPr>
          <w:rFonts w:eastAsia="Times New Roman" w:cs="Times New Roman" w:ascii="Times New Roman" w:hAnsi="Times New Roman"/>
        </w:rPr>
        <w:t>Mediana i dominanta</w:t>
      </w:r>
    </w:p>
    <w:p>
      <w:pPr>
        <w:pStyle w:val="Normal"/>
        <w:numPr>
          <w:ilvl w:val="0"/>
          <w:numId w:val="25"/>
        </w:numPr>
        <w:rPr/>
      </w:pPr>
      <w:r>
        <w:rPr>
          <w:rFonts w:eastAsia="Times New Roman" w:cs="Times New Roman" w:ascii="Times New Roman" w:hAnsi="Times New Roman"/>
        </w:rPr>
        <w:t xml:space="preserve">Odchylenie standardowe </w:t>
      </w:r>
    </w:p>
    <w:p>
      <w:pPr>
        <w:pStyle w:val="Normal"/>
        <w:numPr>
          <w:ilvl w:val="0"/>
          <w:numId w:val="25"/>
        </w:numPr>
        <w:rPr/>
      </w:pPr>
      <w:r>
        <w:rPr>
          <w:rFonts w:eastAsia="Times New Roman" w:cs="Times New Roman" w:ascii="Times New Roman" w:hAnsi="Times New Roman"/>
        </w:rPr>
        <w:t>Średnia ważona</w:t>
      </w:r>
    </w:p>
    <w:p>
      <w:pPr>
        <w:pStyle w:val="Normal"/>
        <w:ind w:left="14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/>
        </w:rPr>
        <w:t>III. Stereometria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Proste i płaszczyzny w przestrzeni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Graniastosłupy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Odcinki w graniastosłupach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Objętość graniastosłupa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Ostrosłupy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Objętość ostrosłupa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Kąt między prostą a płaszczyzną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>Kąt dwuścienny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>Przekroje prostopadłościanów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Walec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>Stożek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 xml:space="preserve">Kula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</w:rPr>
        <w:t>Bryły podobne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/>
          <w:bCs/>
        </w:rPr>
        <w:t>IV. Przykłady dowodów w matematyce</w:t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 w:val="false"/>
          <w:bCs w:val="false"/>
        </w:rPr>
        <w:t>1.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>Dowody w algebrze</w:t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Cs/>
        </w:rPr>
        <w:t>2. Dowody w geometrii</w:t>
      </w:r>
    </w:p>
    <w:p>
      <w:pPr>
        <w:pStyle w:val="ListParagraph"/>
        <w:ind w:left="14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left="1117" w:hanging="0"/>
        <w:rPr/>
      </w:pPr>
      <w:r>
        <w:rPr>
          <w:rFonts w:eastAsia="Times New Roman" w:cs="Times New Roman" w:ascii="Times New Roman" w:hAnsi="Times New Roman"/>
          <w:b/>
        </w:rPr>
        <w:t xml:space="preserve">V. Powtórzenie przed maturą. </w:t>
      </w:r>
    </w:p>
    <w:p>
      <w:pPr>
        <w:pStyle w:val="ListParagraph"/>
        <w:ind w:left="644" w:hanging="0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spacing w:lineRule="auto" w:line="259" w:before="0" w:after="120"/>
        <w:ind w:left="432" w:hanging="432"/>
        <w:rPr>
          <w:rFonts w:ascii="Times New Roman" w:hAnsi="Times New Roman" w:eastAsia="Calibri" w:cs="Times New Roman" w:eastAsiaTheme="minorHAnsi"/>
          <w:bCs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Cs/>
          <w:color w:val="000000" w:themeColor="text1"/>
          <w:lang w:eastAsia="ja-JP" w:bidi="pl-PL"/>
        </w:rPr>
        <w:t>SZCZEGÓŁOWE WYMAGANIA EDUKACYJNE</w:t>
      </w:r>
    </w:p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W XII LO wyróżnia się następujące wymagania programowe zgodne z IV etapem nauczania matematyki:</w:t>
      </w:r>
    </w:p>
    <w:p>
      <w:pPr>
        <w:pStyle w:val="Normal"/>
        <w:numPr>
          <w:ilvl w:val="0"/>
          <w:numId w:val="26"/>
        </w:numPr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lang w:eastAsia="ja-JP" w:bidi="pl-PL"/>
        </w:rPr>
        <w:t xml:space="preserve">K  - </w:t>
      </w: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konieczne, obowiązujące na ocenę dopuszczającą, dotyczą zagadnień elementarnych, stanowiących podstawę, zatem powinny być opanowane przez każdego ucznia.</w:t>
      </w:r>
    </w:p>
    <w:p>
      <w:pPr>
        <w:pStyle w:val="Normal"/>
        <w:numPr>
          <w:ilvl w:val="0"/>
          <w:numId w:val="26"/>
        </w:numPr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lang w:eastAsia="ja-JP" w:bidi="pl-PL"/>
        </w:rPr>
        <w:t>P -</w:t>
      </w: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 xml:space="preserve"> podstawowe obowiązujące na ocenę dostateczną, zawierają wymagania z poziomu (K) wzbogacone o typowe problemy o niewielkim stopniu trudności.</w:t>
      </w:r>
    </w:p>
    <w:p>
      <w:pPr>
        <w:pStyle w:val="Normal"/>
        <w:numPr>
          <w:ilvl w:val="0"/>
          <w:numId w:val="26"/>
        </w:numPr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lang w:eastAsia="ja-JP" w:bidi="pl-PL"/>
        </w:rPr>
        <w:t>R -</w:t>
      </w: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 xml:space="preserve"> rozszerzające obowiązujące na ocenę dobrą, zawierające wymagania z poziomów (K) i (P), dotyczą bardziej złożonych i nieco trudniejszych zagadnień.</w:t>
      </w:r>
    </w:p>
    <w:p>
      <w:pPr>
        <w:pStyle w:val="Normal"/>
        <w:numPr>
          <w:ilvl w:val="0"/>
          <w:numId w:val="26"/>
        </w:numPr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lang w:eastAsia="ja-JP" w:bidi="pl-PL"/>
        </w:rPr>
        <w:t>D -</w:t>
      </w: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 xml:space="preserve"> dopełniające obowiązujące na ocenę bardzo dobrą zawierające wymagania z poziomów (K), (P) i (R), dotyczą zagadnień problemowych, wymagających umiejętności przetwarzania przyswojonych informacji.</w:t>
      </w:r>
    </w:p>
    <w:p>
      <w:pPr>
        <w:pStyle w:val="Normal"/>
        <w:numPr>
          <w:ilvl w:val="0"/>
          <w:numId w:val="26"/>
        </w:numPr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lang w:eastAsia="ja-JP" w:bidi="pl-PL"/>
        </w:rPr>
        <w:t xml:space="preserve">W - </w:t>
      </w: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wykraczające (W), których opanowanie uzasadnia wystawienie oceny celującej, dotyczą zagadnień łączących w sobie kilka działów matematyki, zmuszających do twórczej analizy problemu, oryginalnego rozwiązania oraz biegłego posługiwania się nabytą wiedzą.</w:t>
      </w:r>
    </w:p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Przydział wymagań do poszczególnych ocen szkolnych:</w:t>
      </w:r>
    </w:p>
    <w:p>
      <w:pPr>
        <w:pStyle w:val="Normal"/>
        <w:numPr>
          <w:ilvl w:val="1"/>
          <w:numId w:val="26"/>
        </w:numPr>
        <w:spacing w:lineRule="auto" w:line="259" w:before="0" w:after="120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ocena dopuszczająca​– ​wymagania na poziomie (K)</w:t>
      </w:r>
    </w:p>
    <w:p>
      <w:pPr>
        <w:pStyle w:val="Normal"/>
        <w:numPr>
          <w:ilvl w:val="1"/>
          <w:numId w:val="26"/>
        </w:numPr>
        <w:spacing w:lineRule="auto" w:line="259" w:before="0" w:after="120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ocena dostateczna​– ​wymagania na poziomie (K) i (P)</w:t>
      </w:r>
    </w:p>
    <w:p>
      <w:pPr>
        <w:pStyle w:val="Normal"/>
        <w:numPr>
          <w:ilvl w:val="1"/>
          <w:numId w:val="26"/>
        </w:numPr>
        <w:spacing w:lineRule="auto" w:line="259" w:before="0" w:after="120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ocena dobra​– ​wymagania na poziomie (K), (P) i (R)</w:t>
      </w:r>
    </w:p>
    <w:p>
      <w:pPr>
        <w:pStyle w:val="Normal"/>
        <w:numPr>
          <w:ilvl w:val="1"/>
          <w:numId w:val="26"/>
        </w:numPr>
        <w:spacing w:lineRule="auto" w:line="259" w:before="0" w:after="120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ocena bardzo dobra​– ​wymagania na poziomie (K), (P), (R) i (D)</w:t>
      </w:r>
    </w:p>
    <w:p>
      <w:pPr>
        <w:pStyle w:val="Normal"/>
        <w:numPr>
          <w:ilvl w:val="1"/>
          <w:numId w:val="26"/>
        </w:numPr>
        <w:spacing w:lineRule="auto" w:line="259" w:before="0" w:after="120"/>
        <w:rPr>
          <w:rFonts w:ascii="Times New Roman" w:hAnsi="Times New Roman" w:eastAsia="Calibri" w:cs="Times New Roman" w:eastAsiaTheme="minorHAnsi"/>
          <w:color w:val="000000" w:themeColor="text1"/>
          <w:lang w:eastAsia="ja-JP" w:bidi="pl-PL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lang w:eastAsia="ja-JP" w:bidi="pl-PL"/>
        </w:rPr>
        <w:t>ocena celująca​– ​wymagania na poziomie (K), (P), (R), (D) i (W)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FF0000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RACHUNEK PRAWDOPODOBIEŃSTWA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 K lub P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dostateczną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bezbłędne opanowanie poniższych treści lub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dopuszczającą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opanowanie ich z niewielkimi uchybieniami, jeśli:</w:t>
      </w:r>
    </w:p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>wypisuje wyniki danego doświadczenia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stosuje w typowych sytuacjach regułę mnożenia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przedstawia w prostych sytuacjach drzewo ilustrujące wyniki danego doświadczenia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wypisuje permutacje danego zbioru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stosuje definicję silni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w prostych sytuacjach 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liczbę permutacji danego zbioru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w prostych sytuacjach 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liczbę wariacji bez powtórzeń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w prostych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liczbę wariacji z powtórzeniami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stosuje w prostych sytuacjach regułę dodawania do wyznaczenia liczby wyników doświadczenia spełniających dany warunek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>określa zbiór zdarzeń elementarnych danego doświadczenia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określa zbiór zdarzeń elementarnych sprzyjających danemu zdarzeniu losowemu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określa zdarzenia przeciwne, zdarzenia niemożliwe, zdarzenia pewne i zdarzenia wykluczające się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podaje rozkład prawdopodobieństwa dla rzutów kostką, monetą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stosuje w prostych, typowych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sytuacjach 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klasyczną definicję prawdopodobieństwa do obliczania prawdopodobieństw zdarzeń losowych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podaje rozkład prawdopodobieństwa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prawdopodobieństwo zdarzenia przeciwnego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stosuje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w prostych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twierdzenie o prawdopodobieństwie sumy zdarzeń 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Poziom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R 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lub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>D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Uczeń otrzymuje ocenę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color w:val="404040" w:themeColor="background1" w:themeShade="40"/>
          <w:sz w:val="20"/>
          <w:szCs w:val="20"/>
        </w:rPr>
        <w:t>bardzo dobrą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 xml:space="preserve">, jeśli opanował poziomy (K) i (P) oraz bezbłędnie poniższe treści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color w:val="404040" w:themeColor="background1" w:themeShade="40"/>
          <w:sz w:val="20"/>
          <w:szCs w:val="20"/>
        </w:rPr>
        <w:t xml:space="preserve">dobrą, 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jeśli opanował poziomy (K) i (P) oraz poniższe treści z niewielkimi uchybieniami.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>stosuje regułę mnożenia i regułę dodawania do wyznaczenia liczby wyników doświadczenia spełniających dany warunek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w bardziej złożonych sytuacjach 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liczbę permutacji danego zbioru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w bardziej złożonych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liczbę wariacji bez powtórzeń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oblicza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w bardziej złożonych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liczbę wariacji z powtórzeniami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zapisuje zdarzenia w postaci sumy, iloczynu oraz różnicy zdarzeń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stosuje w bardziej złożonych 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klasyczną definicję prawdopodobieństwa do obliczania prawdopodobieństw zdarzeń losowych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stosuje własności prawdopodobieństwa do obliczania prawdopodobieństw zdarzeń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stosuje własności prawdopodobieństwa w dowodach twierdzeń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 W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celującą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, jeśli opanował wiedzę i umiejętności z poziomów K, P, R, D oraz:</w:t>
      </w:r>
    </w:p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  <w:lang w:eastAsia="ja-JP" w:bidi="pl-PL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  <w:lang w:eastAsia="ja-JP" w:bidi="pl-PL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rozwiązuje zadania o znacznym stopniu trudności dotyczące prawdopodobieństwa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>ilustruje doświadczenia wieloetapowe za pomocą drzewa i na tej podstawie oblicza prawdopodobieństwa zdarzeń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STATYSTYKA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 K lub P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dostateczną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bezbłędne opanowanie poniższych treści lub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dopuszczającą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opanowanie ich z niewielkimi uchybieniami, jeśli: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oblicza średnią arytmetyczną, wyznacza medianę i dominantę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średnią arytmetyczną, wyznacza medianę i dominantę danych pogrupowanych na różne sposoby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oblicza wariancję i odchylenie standardowe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średnią ważoną liczb z podanymi wagami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Poziom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R 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lub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>D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Uczeń otrzymuje ocenę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color w:val="404040" w:themeColor="background1" w:themeShade="40"/>
          <w:sz w:val="20"/>
          <w:szCs w:val="20"/>
        </w:rPr>
        <w:t>bardzo dobrą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 xml:space="preserve">, jeśli opanował poziomy (K) i (P) oraz bezbłędnie poniższe treści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color w:val="404040" w:themeColor="background1" w:themeShade="40"/>
          <w:sz w:val="20"/>
          <w:szCs w:val="20"/>
        </w:rPr>
        <w:t xml:space="preserve">dobrą, 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jeśli opanował poziomy (K) i (P) oraz poniższe treści z niewielkimi uchybieniami.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oblicza średnią arytmetyczną, wyznacza medianę i dominantę danych przedstawionych na diagramie 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wykorzystuje średnią arytmetyczną, medianę, dominantę i średnią ważoną do rozwiązywania zadań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wariancję i odchylenie standardowe zestawu danych przedstawionych na różne sposoby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 W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celującą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, jeśli opanował wiedzę i umiejętności z poziomów K, P, R, D oraz: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porównuje odchylenie przeciętne z odchyleniem standardowym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rozwiązuje zadania o znacznym stopniu trudności dotyczące statystyki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STEREOMETRIA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 K lub P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dostateczną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bezbłędne opanowanie poniższych treści lub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dopuszczającą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opanowanie ich z niewielkimi uchybieniami, jeśli: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w wielościanie proste prostopadłe, równoległe i skośne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w wielościanie rzut prostokątny danego odcinka na daną płaszczyznę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określa liczby ścian, wierzchołków i krawędzi wielościanu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elementy charakterystyczne wielościanu (np. wierzchołek ostrosłupa)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pola powierzchni bocznej i całkowitej graniastosłupa i ostrosłupa prostego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rysuje siatkę wielościanu na podstawie jej fragmentu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długości przekątnych graniastosłupa prostego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oblicza objętości graniastosłupa i ostrosłupa prawidłowego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kąt między przekątną graniastosłupa a płaszczyzną jego podstawy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wskazuje kąty między odcinkami w ostrosłupie a płaszczyzną jego podstawy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kąt między sąsiednimi ścianami wielościanu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rozwiązuje typowe zadania dotyczące kąta między prostą a płaszczyzną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stosuje w prostych sytuacjach funkcje trygonometryczne do obliczania pola powierzchni i objętości wielościanu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przekroje prostopadłościanu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wskazuje elementy charakterystyczne bryły obrotowej (np. kąt rozwarcia stożka)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oblicza w prostych sytuacjach pole powierzchni i objętość bryły obrotowej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stosuje w prostych sytuacjach funkcje trygonometryczne do obliczania pola powierzchni i objętości bryły obrotowej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wyznacza skalę podobieństwa brył podobnych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Poziom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R 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lub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>D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Uczeń otrzymuje ocenę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color w:val="404040" w:themeColor="background1" w:themeShade="40"/>
          <w:sz w:val="20"/>
          <w:szCs w:val="20"/>
        </w:rPr>
        <w:t>bardzo dobrą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 xml:space="preserve">, jeśli opanował poziomy (K) i (P) oraz bezbłędnie poniższe treści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color w:val="404040" w:themeColor="background1" w:themeShade="40"/>
          <w:sz w:val="20"/>
          <w:szCs w:val="20"/>
        </w:rPr>
        <w:t xml:space="preserve">dobrą, 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jeśli opanował poziomy (K) i (P) oraz poniższe treści z niewielkimi uchybieniami.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przeprowadza wnioskowania dotyczące położenia prostych w przestrzeni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stosuje i przekształca wzory na pola powierzchni i objętości wielościanów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stosuje w bardziej złożonych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funkcje trygonometryczne i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twierdzenia planimetrii 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do obliczenia pola powierzchni i objętości wielościanu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pl-PL" w:bidi="ar-SA"/>
              </w:rPr>
              <w:t>oblicza pola przekrojów prostopadłościanów, w tym również mając dany kąt nachylenia płaszczyzny przekroju do jednej ze ścian prostopadłościanu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 xml:space="preserve">oblicza miarę kąta dwuściennego między ścianami wielościanu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stosuje w bardziej złożonych sytuacjach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funkcje trygonometryczne i</w:t>
            </w: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 twierdzenia planimetrii 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do obliczenia pola powierzchni i objętości bryły obrotowej </w:t>
            </w:r>
          </w:p>
        </w:tc>
      </w:tr>
      <w:tr>
        <w:trPr>
          <w:trHeight w:val="112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wykorzystuje podobieństwo brył w rozwiązaniach zadań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 W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celującą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, jeśli opanował wiedzę i umiejętności z poziomów K, P, R, D oraz: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rozwiązuje zadania o znacznym stopniu trudności dotyczące stereometrii</w:t>
            </w:r>
          </w:p>
        </w:tc>
      </w:tr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pl-PL" w:bidi="ar-SA"/>
              </w:rPr>
              <w:t>przeprowadza dowody twierdzeń dotyczących związków miarowych w wielościanach i bryłach obrotowych</w:t>
            </w:r>
          </w:p>
        </w:tc>
      </w:tr>
    </w:tbl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  <w:lang w:eastAsia="ja-JP" w:bidi="pl-PL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  <w:lang w:eastAsia="ja-JP" w:bidi="pl-PL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404040" w:themeColor="background1" w:themeShade="40"/>
          <w:sz w:val="20"/>
          <w:szCs w:val="20"/>
        </w:rPr>
        <w:t>PRZYKŁADY DOWODÓW W MATEMATYCE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 K lub P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dostateczną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bezbłędne opanowanie poniższych treści lub ocenę </w:t>
      </w:r>
      <w:r>
        <w:rPr>
          <w:rFonts w:eastAsia="Times New Roman" w:cs="Times New Roman" w:ascii="Times New Roman" w:hAnsi="Times New Roman"/>
          <w:b/>
          <w:color w:val="1A1A1A" w:themeColor="background1" w:themeShade="1a"/>
          <w:sz w:val="20"/>
          <w:szCs w:val="20"/>
        </w:rPr>
        <w:t>dopuszczającą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 za opanowanie ich z niewielkimi uchybieniami, jeśli: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404040" w:themeColor="background1" w:themeShade="40"/>
          <w:sz w:val="20"/>
          <w:szCs w:val="20"/>
        </w:rPr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przeprowadza proste dowody dotyczące własności liczb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przeprowadza proste dowody dotyczące nierówności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przeprowadza proste dowody dotyczące własności figur płaskich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404040" w:themeColor="background1" w:themeShade="40"/>
          <w:sz w:val="20"/>
          <w:szCs w:val="20"/>
        </w:rPr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Poziom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R 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lub 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>D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Uczeń otrzymuje ocenę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color w:val="404040" w:themeColor="background1" w:themeShade="40"/>
          <w:sz w:val="20"/>
          <w:szCs w:val="20"/>
        </w:rPr>
        <w:t>bardzo dobrą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 xml:space="preserve">, jeśli opanował poziomy (K) i (P) oraz bezbłędnie poniższe treści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>
          <w:rFonts w:eastAsia="Times New Roman" w:cs="Times New Roman" w:ascii="Times New Roman" w:hAnsi="Times New Roman"/>
          <w:b/>
          <w:color w:val="404040" w:themeColor="background1" w:themeShade="40"/>
          <w:sz w:val="20"/>
          <w:szCs w:val="20"/>
        </w:rPr>
        <w:t xml:space="preserve">dobrą, </w:t>
      </w: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  <w:t>jeśli opanował poziomy (K) i (P) oraz poniższe treści z niewielkimi uchybieniami.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404040" w:themeColor="background1" w:themeShade="40"/>
          <w:sz w:val="20"/>
          <w:szCs w:val="20"/>
        </w:rPr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przeprowadza trudniejsze dowody dotyczące własności liczb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przeprowadza trudniejsze dowody dotyczące nierówności</w:t>
            </w:r>
          </w:p>
        </w:tc>
      </w:tr>
      <w:tr>
        <w:trPr>
          <w:trHeight w:val="30" w:hRule="atLeast"/>
        </w:trPr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sz w:val="20"/>
                <w:szCs w:val="20"/>
                <w:lang w:eastAsia="ja-JP" w:bidi="pl-PL"/>
              </w:rPr>
              <w:t>przeprowadza trudniejsze dowody dotyczące własności figur płaskich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404040" w:themeColor="background1" w:themeShade="40"/>
          <w:sz w:val="20"/>
          <w:szCs w:val="20"/>
        </w:rPr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Poziom</w:t>
      </w:r>
      <w:r>
        <w:rPr>
          <w:rFonts w:eastAsia="Times New Roman" w:cs="Times New Roman" w:ascii="Times New Roman" w:hAnsi="Times New Roman"/>
          <w:bCs/>
          <w:color w:val="1A1A1A" w:themeColor="background1" w:themeShade="1a"/>
          <w:sz w:val="20"/>
          <w:szCs w:val="20"/>
        </w:rPr>
        <w:t xml:space="preserve"> W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Uczeń otrzymuje ocenę </w:t>
      </w: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celującą</w:t>
      </w: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>, jeśli opanował wiedzę i umiejętności z poziomów K, P, R, D oraz: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404040" w:themeColor="background1" w:themeShade="40"/>
          <w:sz w:val="20"/>
          <w:szCs w:val="20"/>
        </w:rPr>
      </w:pPr>
      <w:r>
        <w:rPr>
          <w:rFonts w:eastAsia="Times New Roman" w:cs="Times New Roman" w:ascii="Times New Roman" w:hAnsi="Times New Roman"/>
          <w:color w:val="404040" w:themeColor="background1" w:themeShade="40"/>
          <w:sz w:val="20"/>
          <w:szCs w:val="20"/>
        </w:rPr>
      </w:r>
    </w:p>
    <w:tbl>
      <w:tblPr>
        <w:tblStyle w:val="Siatkatabelijasna"/>
        <w:tblW w:w="90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7"/>
      </w:tblGrid>
      <w:tr>
        <w:trPr/>
        <w:tc>
          <w:tcPr>
            <w:tcW w:w="9017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 xml:space="preserve">przeprowadza dowody wymagające wiedzy opisanej na poziomie (W) z innych działów 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rPr>
                <w:lang w:eastAsia="ja-JP" w:bidi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1A1A1A" w:themeColor="background1" w:themeShade="1a"/>
                <w:sz w:val="20"/>
                <w:szCs w:val="20"/>
                <w:lang w:eastAsia="ja-JP" w:bidi="pl-PL"/>
              </w:rPr>
              <w:t>(np. znajomości twierdzenia Talesa)</w:t>
            </w:r>
          </w:p>
        </w:tc>
      </w:tr>
    </w:tbl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  <w:lang w:eastAsia="ja-JP" w:bidi="pl-PL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  <w:lang w:eastAsia="ja-JP" w:bidi="pl-PL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  <w:t>POWTÓRZENIE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1A1A1A" w:themeColor="background1" w:themeShade="1a"/>
          <w:sz w:val="20"/>
          <w:szCs w:val="20"/>
        </w:rPr>
        <w:t xml:space="preserve">Wymagania dotyczące powtarzanych wiadomości zostały opisane w propozycjach przedmiotowego systemu oceniania dla klas pierwszej, drugiej i trzeciej.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1A1A1A" w:themeColor="background1" w:themeShade="1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  <w:sz w:val="20"/>
          <w:szCs w:val="20"/>
        </w:rPr>
      </w:r>
    </w:p>
    <w:p>
      <w:pPr>
        <w:pStyle w:val="Normal"/>
        <w:spacing w:lineRule="auto" w:line="259" w:before="0" w:after="120"/>
        <w:jc w:val="both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  <w:lang w:eastAsia="ja-JP" w:bidi="pl-PL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  <w:lang w:eastAsia="ja-JP" w:bidi="pl-PL"/>
        </w:rPr>
      </w:r>
    </w:p>
    <w:p>
      <w:pPr>
        <w:pStyle w:val="Normal"/>
        <w:spacing w:lineRule="auto" w:line="259" w:before="0" w:after="120"/>
        <w:rPr>
          <w:rFonts w:ascii="Times New Roman" w:hAnsi="Times New Roman" w:eastAsia="Calibri" w:cs="Times New Roman" w:eastAsiaTheme="minorHAnsi"/>
          <w:color w:val="1A1A1A" w:themeColor="background1" w:themeShade="1a"/>
          <w:sz w:val="20"/>
          <w:szCs w:val="20"/>
          <w:lang w:eastAsia="ja-JP" w:bidi="pl-PL"/>
        </w:rPr>
      </w:pPr>
      <w:r>
        <w:rPr>
          <w:rFonts w:eastAsia="Calibri" w:cs="Times New Roman" w:eastAsiaTheme="minorHAnsi" w:ascii="Times New Roman" w:hAnsi="Times New Roman"/>
          <w:color w:val="1A1A1A" w:themeColor="background1" w:themeShade="1a"/>
          <w:sz w:val="20"/>
          <w:szCs w:val="20"/>
          <w:lang w:eastAsia="ja-JP" w:bidi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SPOSOBY SPRAWDZANIA OSIĄGNIĘĆ EDUKACYJNYCH UCZNIÓW</w:t>
      </w:r>
    </w:p>
    <w:p>
      <w:pPr>
        <w:pStyle w:val="ListParagraph"/>
        <w:ind w:left="360" w:hanging="0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agwek2"/>
        <w:spacing w:before="0" w:after="0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WYMAGANIA NA ZAJĘCIACH (na podstawie STATUTU XII LO, </w:t>
      </w:r>
      <w:bookmarkStart w:id="0" w:name="_Toc11254778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Rozdział </w:t>
      </w:r>
      <w:bookmarkEnd w:id="0"/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</w:rPr>
        <w:t xml:space="preserve">3)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posiada na lekcji zeszyt, podręcznik oraz inne wymagane przez nauczyciela pomoce dydaktyczne.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x-none"/>
        </w:rPr>
      </w:pPr>
      <w:r>
        <w:rPr>
          <w:rFonts w:cs="Times New Roman" w:ascii="Times New Roman" w:hAnsi="Times New Roman"/>
          <w:color w:val="000000" w:themeColor="text1"/>
        </w:rPr>
        <w:t>Uczeń, jako osoba odpowiedzialna za swoją edukację i świadoma znaczenia wykształcenia, prowadzi zeszyt</w:t>
        <w:br/>
        <w:t>w najbardziej efektywny dla siebie sposób, w zależności od stylu uczenia się i osobistych potrzeb. Zeszyt nie stanowi przedmiotu oceny.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950" w:leader="none"/>
        </w:tabs>
        <w:jc w:val="both"/>
        <w:rPr>
          <w:rFonts w:ascii="Times New Roman" w:hAnsi="Times New Roman" w:eastAsia="Times New Roman" w:cs="Times New Roman"/>
          <w:iCs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nie posiada przy sobie telefonu komórkowego w czasie zajęć edukacyjnych.</w:t>
      </w:r>
      <w:r>
        <w:rPr>
          <w:rFonts w:eastAsia="Times New Roman" w:cs="Times New Roman" w:ascii="Times New Roman" w:hAnsi="Times New Roman"/>
          <w:iCs/>
          <w:color w:val="000000" w:themeColor="text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</w:rPr>
        <w:t>Dopuszcza się używania telefonu komórkowego i innych urządzeń rejestrujących obraz i dźwięk w czasie zajęć edukacyjnych za zgodą nauczyciela, a poza nimi zgodnie z normami kulturalnego zachowania.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na zajęciach edukacyjnych ma opanowany materiał minimum z trzech ostatnich lekcji i dostosowuje się do innych wymagań nauczyciela.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NIEPRZYGOTOWANIE, BRAK ZADANIA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 może, bez podania przyczyn, zgłosić nieprzygotowanie do zajęć: </w:t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raz w semestrze do lekcji przedmiotu realizowanego w wymiarze do trzech godzin tygodniowo,</w:t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dwa razy dla przedmiotu o większej liczbie godzin.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Nieprzygotowanie:</w:t>
      </w:r>
    </w:p>
    <w:p>
      <w:pPr>
        <w:pStyle w:val="ListParagraph"/>
        <w:numPr>
          <w:ilvl w:val="1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powinno być zgłoszone przed lekcją lub na początku lekcji w formie ustalonej przez nauczyciela, zwalnia ono z obowiązku odpowiedzi ustnej na ocenę lub niezapowiedzianej wcześniej pracy pisemnej.</w:t>
      </w:r>
    </w:p>
    <w:p>
      <w:pPr>
        <w:pStyle w:val="ListParagraph"/>
        <w:numPr>
          <w:ilvl w:val="1"/>
          <w:numId w:val="5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nie można zgłosić nieprzygotowania przed lekcją, na której ma być zapowiedziana z co najmniej tygodniowym wyprzedzeniem praca pisemna, powtórka, ćwiczenie lub inna forma sprawdzania osiągnięć edukacyjnych uczniów.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Brak zadania jest równoznaczny z nieprzygotowaniem do lekcji.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Zgłoszenie nieprzygotowania nauczyciel odnotowuje w dzienniku z datą dzienną.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Ustala się następujący system oznaczeń w dziennikach lekcyjnych: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np – nieprzygotowanie do lekcji,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nb – nieobecność na lekcji (z datą dzienną), na której przewidziano sprawdzenie wiadomości</w:t>
        <w:br/>
        <w:t>i umiejętności.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ma prawo do zwolnienia ze wszystkich form sprawdzania osiągnięć edukacyjnych z powodu przygotowywania się do etapu okręgowego (centralnego) olimpiady w okresie dwóch tygodni przed terminem eliminacji.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biorący udział w imprezach szkolnych organizowanych wieczorem są zwolnieni następnego dnia</w:t>
        <w:br/>
        <w:t>z pytania na oceny i niezapowiedzianych wcześniej prac pisemnych, ale tylko z tych przedmiotów, które odbywały się w dniu imprezy.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był obecny na zajęciach szkolnych przez co najmniej tydzień, ma prawo być zwolniony z pytania na oceny przez trzy dni po powrocie do szkoły. Przed lekcją uczeń ma obowiązek poinformować nauczyciela o nieprzygotowaniu. Tylko pod tym warunkiem uczeń jest zwolniony</w:t>
        <w:br/>
        <w:t>z odpowiedzi.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SPOSOBY SPRAWDZANIA OSIĄGNIĘĆ EDUKACYJNYCH UCZNIÓW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Ocenianie wiedzy i umiejętności uczniów dokonywane jest przez każdego nauczyciela systematycznie.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Pierwsza ocena bieżąca jest ustalana najpóźniej do końca października. Ocenianie następuje w warunkach zapewniających obiektywność oceny i obejmuje różne formy wynikające ze specyfiki zajęć edukacyjnych.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są jawne dla ucznia i jego rodziców.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Ustalone przez nauczyciela oceny bieżące są wpisywane do dziennika lekcyjnego z odpowiednią datą dzienną, kolor ocen dowolnie ustala nauczyciel.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94" w:leader="none"/>
        </w:tabs>
        <w:ind w:left="794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Sprawdzanie wiedzy i umiejętności przybiera następujące formy: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odpowiedź ustna</w:t>
      </w:r>
      <w:r>
        <w:rPr>
          <w:rFonts w:eastAsia="Times New Roman" w:cs="Times New Roman" w:ascii="Times New Roman" w:hAnsi="Times New Roman"/>
          <w:color w:val="000000" w:themeColor="text1"/>
        </w:rPr>
        <w:t>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odpowiedź z trzech ostatnich tematów lekcji </w:t>
      </w:r>
      <w:r>
        <w:rPr>
          <w:rFonts w:cs="Times New Roman" w:ascii="Times New Roman" w:hAnsi="Times New Roman"/>
          <w:color w:val="000000" w:themeColor="text1"/>
        </w:rPr>
        <w:t>- przy kontroli ustnej, nauczyciel wystawia ocenę</w:t>
        <w:br/>
        <w:t>w sposób elastyczny biorąc pod uwagę m.in. stopień trudności rozwiązywanych zadań, trafność doboru metod rozwiązania, poprawne posługiwanie się językiem matematycznym, tempo pracy, samodzielność, liczbę popełnionych błędów;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przez uczniów ustnej wypowiedzi na dany temat.</w:t>
      </w:r>
    </w:p>
    <w:p>
      <w:pPr>
        <w:pStyle w:val="ListParagraph"/>
        <w:ind w:left="115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pisemna: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kartkówka</w:t>
      </w:r>
      <w:r>
        <w:rPr>
          <w:rFonts w:cs="Times New Roman" w:ascii="Times New Roman" w:hAnsi="Times New Roman"/>
          <w:color w:val="000000" w:themeColor="text1"/>
        </w:rPr>
        <w:t xml:space="preserve"> – zapowiadana lub nie, obejmująca materiał z trzech ostatnich tematów i trwająca co najwyżej 15 minut;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 xml:space="preserve">sprawdzian </w:t>
      </w:r>
      <w:r>
        <w:rPr>
          <w:rFonts w:cs="Times New Roman" w:ascii="Times New Roman" w:hAnsi="Times New Roman"/>
          <w:color w:val="000000" w:themeColor="text1"/>
        </w:rPr>
        <w:t xml:space="preserve"> – zapowiadany z co najmniej tygodniowym wyprzedzeniem, obejmujący jedną partię materiału;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praca klasowa</w:t>
      </w:r>
      <w:r>
        <w:rPr>
          <w:rFonts w:cs="Times New Roman" w:ascii="Times New Roman" w:hAnsi="Times New Roman"/>
          <w:color w:val="000000" w:themeColor="text1"/>
        </w:rPr>
        <w:t xml:space="preserve"> – dłuższy sprawdzian trwający dwie jednostki lekcyjne z jednej lub większej partii materiału, zapowiadany z co najmniej dwutygodniowym wyprzedzeniem;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iCs/>
          <w:color w:val="000000" w:themeColor="text1"/>
        </w:rPr>
        <w:t>szkolny test kompetencji po danej klasie</w:t>
      </w:r>
      <w:r>
        <w:rPr>
          <w:rFonts w:cs="Times New Roman" w:ascii="Times New Roman" w:hAnsi="Times New Roman"/>
          <w:color w:val="000000" w:themeColor="text1"/>
        </w:rPr>
        <w:t>, odbywający się najczęściej na przełomie maja i czerwca każdego roku szkolnego, zapowiadany z co najmniej dwutygodniowym wyprzedzeniem, obejmujący treści z całego roku szkolnego;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klasie trzeciej dodatkowo: </w:t>
      </w:r>
      <w:r>
        <w:rPr>
          <w:rFonts w:cs="Times New Roman" w:ascii="Times New Roman" w:hAnsi="Times New Roman"/>
          <w:b/>
          <w:bCs/>
          <w:color w:val="000000" w:themeColor="text1"/>
        </w:rPr>
        <w:t>szkolna matura próbna, sprawdziany powtórkowe</w:t>
      </w:r>
      <w:r>
        <w:rPr>
          <w:rFonts w:cs="Times New Roman" w:ascii="Times New Roman" w:hAnsi="Times New Roman"/>
          <w:color w:val="000000" w:themeColor="text1"/>
        </w:rPr>
        <w:t xml:space="preserve">  zapowiadane z co najmniej tygodniowym wyprzedzeniem;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praca w grupach, projekt </w:t>
      </w:r>
      <w:r>
        <w:rPr>
          <w:rFonts w:cs="Times New Roman" w:ascii="Times New Roman" w:hAnsi="Times New Roman"/>
          <w:color w:val="000000" w:themeColor="text1"/>
        </w:rPr>
        <w:t>których efektem jest stworzenie wspólnej pracy uczniów w formie pisemnej.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karty pracy </w:t>
      </w:r>
      <w:r>
        <w:rPr>
          <w:rFonts w:cs="Times New Roman" w:ascii="Times New Roman" w:hAnsi="Times New Roman"/>
          <w:bCs/>
          <w:color w:val="000000" w:themeColor="text1"/>
        </w:rPr>
        <w:t>– karty pracy ucznia, które pozwalają utrwalić treści wprowadzone na lekcji.</w:t>
      </w:r>
    </w:p>
    <w:p>
      <w:pPr>
        <w:pStyle w:val="ListParagraph"/>
        <w:numPr>
          <w:ilvl w:val="0"/>
          <w:numId w:val="9"/>
        </w:numPr>
        <w:spacing w:before="0" w:after="24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sprawdzian śródroczny i sprawdzian roczny </w:t>
      </w:r>
      <w:r>
        <w:rPr>
          <w:rFonts w:cs="Times New Roman" w:ascii="Times New Roman" w:hAnsi="Times New Roman"/>
          <w:bCs/>
          <w:color w:val="000000" w:themeColor="text1"/>
        </w:rPr>
        <w:t xml:space="preserve"> - sprawdziany pisane na koniec pierwszego okresu lub na koniec całego roku szkolnego, przez osoby podwyższające ocenę śródroczną, roczną.</w:t>
      </w:r>
    </w:p>
    <w:p>
      <w:pPr>
        <w:pStyle w:val="ListParagraph"/>
        <w:spacing w:before="0" w:after="240"/>
        <w:ind w:left="1440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Obowiązkiem ucznia jest przystąpienie do wszystkich prac pisemnych.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sprawdziany powtórkowe, szkolna matura próbna są obowiązkowe.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Prace pisemne sprawdzane są w następującej skali:</w:t>
      </w:r>
    </w:p>
    <w:tbl>
      <w:tblPr>
        <w:tblStyle w:val="Tabelalisty1jasnaakcent3"/>
        <w:tblW w:w="5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96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niedostateczny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(0%, 40%)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dopuszczający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40%, 50%)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dostateczny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50%, 70%)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70%, 85%)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bardzo dobry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Cambria Math" w:ascii="Cambria Math" w:hAnsi="Cambria Math"/>
                <w:color w:val="000000" w:themeColor="text1"/>
              </w:rPr>
              <w:t>⟨</w:t>
            </w:r>
            <w:r>
              <w:rPr>
                <w:rFonts w:cs="Times New Roman" w:ascii="Times New Roman" w:hAnsi="Times New Roman"/>
                <w:color w:val="000000" w:themeColor="text1"/>
              </w:rPr>
              <w:t>85%, 100%</w:t>
            </w:r>
            <w:r>
              <w:rPr>
                <w:rFonts w:cs="Cambria Math" w:ascii="Cambria Math" w:hAnsi="Cambria Math"/>
                <w:color w:val="000000" w:themeColor="text1"/>
              </w:rPr>
              <w:t>⟩</w:t>
            </w:r>
          </w:p>
        </w:tc>
      </w:tr>
      <w:tr>
        <w:trPr/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</w:rPr>
              <w:t>celujący</w:t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bardzo dobry + zadanie dodatkowe*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3969" w:type="dxa"/>
            <w:tcBorders>
              <w:top w:val="single" w:sz="4" w:space="0" w:color="C9C9C9"/>
              <w:bottom w:val="single" w:sz="4" w:space="0" w:color="C9C9C9"/>
            </w:tcBorders>
            <w:shd w:color="auto" w:fill="EDEDED" w:themeFill="accent3" w:themeFillTint="33" w:val="clear"/>
          </w:tcPr>
          <w:p>
            <w:pPr>
              <w:pStyle w:val="ListParagraph"/>
              <w:widowControl w:val="false"/>
              <w:ind w:left="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80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C9C9C9"/>
              <w:bottom w:val="single" w:sz="4" w:space="0" w:color="C9C9C9"/>
            </w:tcBorders>
            <w:shd w:fill="auto" w:val="clear"/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 w:themeColor="text1"/>
                <w:sz w:val="18"/>
                <w:szCs w:val="18"/>
              </w:rPr>
              <w:t>*zadanie dodatkowe – zadanie o podwyższonym stopniu trudności, nie wykraczające poza wymagania wynikające</w:t>
              <w:br/>
              <w:t>z realizowanego programu nauczania matematyki.</w:t>
            </w:r>
          </w:p>
        </w:tc>
      </w:tr>
    </w:tbl>
    <w:p>
      <w:pPr>
        <w:pStyle w:val="ListParagraph"/>
        <w:ind w:left="1440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 wyjątkowych sytuacjach  (np. klasy, których matematyka nie jest mocną stroną, prace pisemne obejmujące dużą partię materiału) nauczyciel ma prawo zmiany tego zakresu.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Jeśli uczeń podczas pracy pisemnej posługuje się niedopuszczalnymi środkami lub sposobami, to nauczyciel może zarządzić ponowne sprawdzenie wiadomości, obniżyć ocenę lub przerwać pracę pisemną, wstawiając jednocześnie ocenę niedostateczną.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pracach pisemnych nie wolno używać ołówka, korektora i koloru czerwonego. Część pracy napisana ołówkiem nie jest brana pod uwagę.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Jeśli uczeń był nieobecny na wcześniej zapowiedzianej pracy pisemnej nauczyciel wpisuje „0” do dziennika lekcyjnego z tej pracy i wyznacza dla niego termin dodatkowy (bez zachowania warunków tygodniowego lub dwutygodniowego wyprzedzenia), może to być termin pracy pisemnej poprawkowej. </w:t>
      </w:r>
      <w:r>
        <w:rPr>
          <w:rFonts w:eastAsia="Times New Roman" w:cs="Times New Roman" w:ascii="Times New Roman" w:hAnsi="Times New Roman"/>
          <w:color w:val="000000" w:themeColor="text1"/>
        </w:rPr>
        <w:t>W przypadku gdy uczeń nie przystąpi do pracy pisemnej w terminie dodatkowym z przyczyn nieusprawiedliwionych, nauczyciel ma prawo wpisać ocenę niedostateczną z tej pracy pisemnej.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ma prawo odmówić poprawy oceny niedostatecznej wynikającej z sytuacji opisanej</w:t>
        <w:br/>
        <w:t>w punkcie 7.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dnia przeprowadza się tylko jeden sprawdzian pisemny obejmujący wiadomości z więcej niż trzech ostatnich lekcji.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 ciągu tygodnia przeprowadza się w klasie co najwyżej trzy sprawdziany pisemne z zajęć prowadzonych w systemie klasowo-lekcyjnym, z których każdy obejmuje zakres materiału większy niż z trzech ostatnich lekcji.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po zapowiedzeniu pracy pisemnej ma obowiązek dokonania odpowiedniego wpisu do terminarza dziennika elektronicznego.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zapowiedziana praca pisemna nie odbędzie się w danym dniu z przyczyn losowych (np. nieobecność nauczyciela, odwołane zajęcia), zostaje ona automatycznie przeniesiona  na najbliższe zajęcia z danego przedmiotu i nie jest ponownie zapowiadana.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są: ocena z pracy pisemnej oraz ocena z poprawy tej pracy w formie dopuszczalnej przez dziennik elektroniczny, czyli w kwadratowych nawiasach np.  [1, 3]. Podczas wystawiania oceny śródrocznej lub rocznej nauczyciel bierze pod uwagę obydwie oceny.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Prace pisemne są poprawiane przez nauczyciela w ciągu dwóch tygodni roboczych, omówione na lekcji i dane uczniom do wglądu. </w:t>
      </w:r>
      <w:r>
        <w:rPr>
          <w:rFonts w:cs="Times New Roman" w:ascii="Times New Roman" w:hAnsi="Times New Roman"/>
          <w:color w:val="000000" w:themeColor="text1"/>
        </w:rPr>
        <w:t xml:space="preserve">Następnie umieszcza się je w teczce ucznia. Uczeń nie ma prawa wynosić teczki, ani prac w niej zawartych z sali lekcyjnej. Teczka stanowi dokumentację szkolną nauczyciela. 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 przekroczeniu terminu dwóch tygodni przez nauczyciela, wpisuje on ocenę do dziennika tylko za zgodą ucznia. Termin dwóch tygodni może być zwiększony w przypadku dłuższej  nieobecności nauczyciela.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wniosek ucznia lub jego rodziców, sprawdzone i ocenione pisemne prace kontrolne ucznia są udostępniane uczniowi lub jego rodzicom podczas cotygodniowych dyżurów nauczyciela, podczas zebrań rodziców lub w innym terminie po wcześniejszym ustaleniu z nauczycielem.</w:t>
      </w:r>
    </w:p>
    <w:p>
      <w:pPr>
        <w:pStyle w:val="Normal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Prac pisemnych udostępnionych do wglądu nie kseruje się ani w żaden inny sposób nie kopiuje (chyba, że w uzasadnionych sytuacjach nauczyciel postanowi inaczej). Sprawdzonych prac pisemnych uczniów nie wynosi się poza teren Szkoły. Rodzic potwierdza podpisem wraz z datą zapoznanie się z pracą pisemną.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radą klasyfikacyjną nie przeprowadza się prac pisemnych dłuższych niż 15 minut,</w:t>
      </w:r>
    </w:p>
    <w:p>
      <w:pPr>
        <w:pStyle w:val="ListParagraph"/>
        <w:ind w:left="1776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ind w:left="794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3) </w:t>
      </w:r>
      <w:r>
        <w:rPr>
          <w:rFonts w:eastAsia="Times New Roman" w:cs="Times New Roman" w:ascii="Times New Roman" w:hAnsi="Times New Roman"/>
          <w:b/>
          <w:bCs/>
          <w:color w:val="000000" w:themeColor="text1"/>
        </w:rPr>
        <w:t>praca domowa</w:t>
      </w:r>
      <w:r>
        <w:rPr>
          <w:rFonts w:eastAsia="Times New Roman" w:cs="Times New Roman" w:ascii="Times New Roman" w:hAnsi="Times New Roman"/>
          <w:color w:val="000000" w:themeColor="text1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POPRAWIANIE OCEN BIEŻĄCYCH.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</w:rPr>
        <w:t xml:space="preserve">Nie poprawia się ocen uzyskanych z następujących prac pisemnych: sprawdzian śródroczny, sprawdzian roczny,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szkolny test kompetencji po danej klasie oraz szkolna matura próbna.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Uczeń, który otrzymał bieżącą ocenę niedostateczną lub ocenę pozytywną niesatysfakcjonującą go, może ją w ciągu dwóch tygodni poprawić – zabiegając o to samodzielnie, pod warunkiem, że nie jest to ocena z pracy pisemnej wymienionej w pkt 1. Termin poprawy ustala nauczyciel. </w:t>
      </w:r>
      <w:r>
        <w:rPr>
          <w:rFonts w:cs="Times New Roman" w:ascii="Times New Roman" w:hAnsi="Times New Roman"/>
          <w:color w:val="000000" w:themeColor="text1"/>
        </w:rPr>
        <w:t>Niedopuszczalne jest poprawianie wszystkich ocen pod koniec danego okresu roku szkolnego, kiedy zbliża się klasyfikacja.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Prawo do poprawy oceny bieżącej przysługuje uczniowi jeden raz dla każdej z ocen, chyba że nauczyciel postanowi inaczej.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wniosek ucznia lub jego rodziców nauczyciel uzasadnia ustaloną ocenę. Uzasadnienia dokonuje się</w:t>
        <w:br/>
        <w:t>w formie informacji ustnej, a na życzenie rodziców, informacji pisemnej.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uczeń uważa, że został potraktowany niesprawiedliwie przez nauczyciela, ma prawo: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zwrócić się do tego nauczyciela z prośbą o wyjaśnienie;.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przeprowadzić rozmowę w tej sprawie z wychowawcą, psychologiem, pedagogiem lub Dyrektorem Szkoły.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Do dziennika lekcyjnego wpisywane są obydwie oceny w formie dopuszczalnej przez dziennik elektroniczny, czyli w kwadratowych nawiasach np.  [1, 3]. Podczas wystawiania oceny śródrocznej lub rocznej nauczyciel bierze pod uwagę obydwie oceny.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WARUNKI I TRYB UZYSKANIA OCENY ROCZNEJ WYŻSZEJ NIŻ PRZEWIDYWANA</w:t>
        <w:br/>
        <w:t>Z MATEMATYKI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KLASYFIKACJA ŚRÓDROCZNA I ROCZNA.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 dwa tygodnie przed rocznym (śródrocznym) klasyfikacyjnym posiedzeniem Rady Pedagogicznej, nauczyciele ustalają przewidywane dla ucznia oceny klasyfikacyjne z matematyki, poprzez wpis tych ocen do dziennika lekcyjnego.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Na ocenę przedmiotową nie wpływa zachowanie ucznia, jego poglądy i przekonania.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 śródrocznych i rocznych nie ustala się na podstawie średniej arytmetycznej, czy średniej ważonej. Podczas oceniania nauczyciel uwzględnia m.in. możliwości matematyczne ucznia, wkład jego pracy, specjalne wymagania edukacyjne, orzeczenia z poradni oraz stosunek do obowiązków szkolnych.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ocen bieżących z co najmniej dwóch różnych form sprawdzania wiedzy i umiejętności w jednym okresie.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klasyfikacyjne śródroczne i roczne ustalane są na podstawie co najmniej trzech ocen bieżących, a w przypadku zajęć realizowanych w wymiarze jednej godziny tygodniowo co najmniej dwóch w okresie.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i roczna wystawiana jest na podstawie ocen bieżących, uzyskanych przez ucznia odpowiednio: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śródroczna - w trakcie pierwszego okresu,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ocena roczna – całego roku szkolnego.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Poszczególnym formom oceniania nadaje się różną ważność. Najważniejsze są formy pisemne, ponieważ egzamin maturalny ma właśnie taką formę. Następnie oceny z odpowiedzi ustnych i kartkówek, pozostałe oceny mają charakter wspomagający.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Oceny śródroczne i roczne ustala się według następującej skali: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śródroczne: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+5,5,-5,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+4,4,-4,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+3,3,-3,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+2,2,-2,</w:t>
      </w:r>
    </w:p>
    <w:p>
      <w:pPr>
        <w:pStyle w:val="ListParagraph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+1,1.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roczne: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celujący</w:t>
        <w:tab/>
        <w:t>(cel)</w:t>
        <w:tab/>
        <w:tab/>
        <w:t>6,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bardzo dobry</w:t>
        <w:tab/>
        <w:t>(bdb)</w:t>
        <w:tab/>
        <w:tab/>
        <w:t>5,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dobry</w:t>
        <w:tab/>
        <w:tab/>
        <w:t>(db)</w:t>
        <w:tab/>
        <w:tab/>
        <w:t>4,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dostateczny</w:t>
        <w:tab/>
        <w:t>(dst)</w:t>
        <w:tab/>
        <w:tab/>
        <w:t>3,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stopień</w:t>
        <w:tab/>
        <w:tab/>
        <w:t>dopuszczający  (dop)</w:t>
        <w:tab/>
        <w:tab/>
        <w:t>2,</w:t>
      </w:r>
    </w:p>
    <w:p>
      <w:pPr>
        <w:pStyle w:val="ListParagraph"/>
        <w:numPr>
          <w:ilvl w:val="0"/>
          <w:numId w:val="19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stopień </w:t>
        <w:tab/>
        <w:t>niedostateczny  (ndst)</w:t>
        <w:tab/>
        <w:tab/>
        <w:t>1.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zostaje poinformowany o przewidywanej ocenie przez nauczyciela prowadzącego dane zajęcia,</w:t>
        <w:br/>
        <w:t>a jego rodzic na ostatnim w danym okresie zebraniu przez wychowawcę klasy.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Uczniowie i rodzice nieobecni na spotkaniach informacyjnych samodzielnie dowiadują się</w:t>
        <w:br/>
        <w:t>o przewidywanych ocenach u poszczególnych nauczycieli lub wychowawcy klasy.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Zastrzega się, że przewidywane oceny mogą ulec zmianie.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może starać się o wyższą o jeden stopień ocenę śródroczną lub roczną, jeżeli proponując ocenę nauczyciel postawił przy niej znak „+” np. uczeń, który uzyskał ocenę przewidywaną „3+” może starać się</w:t>
        <w:br/>
        <w:t>o podwyższenie jej do oceny „4”.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Podwyższenie oceny śródrocznej polega na napisaniu przez ucznia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sprawdzianu śródrocznego </w:t>
      </w:r>
      <w:r>
        <w:rPr>
          <w:rFonts w:cs="Times New Roman" w:ascii="Times New Roman" w:hAnsi="Times New Roman"/>
          <w:color w:val="000000" w:themeColor="text1"/>
        </w:rPr>
        <w:t>obejmującego materiał zrealizowany w pierwszym okresie danego roku szkolnego. Podwyższenie oceny następuje wtedy, gdy sprawdzian napisany jest co najmniej na ocenę o którą ubiega się uczeń. Sprawdzianu śródrocznego nie można poprawiać.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Forma podwyższenia oceny rocznej zależy od nauczyciela. Może to być: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>sprawdzianu rocznego</w:t>
      </w:r>
      <w:r>
        <w:rPr>
          <w:rFonts w:cs="Times New Roman" w:ascii="Times New Roman" w:hAnsi="Times New Roman"/>
          <w:color w:val="000000" w:themeColor="text1"/>
        </w:rPr>
        <w:t xml:space="preserve"> obejmującego:</w:t>
      </w:r>
    </w:p>
    <w:p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pierwszej i drugiej – całość materiału realizowanego w danym roku szkolnym;</w:t>
      </w:r>
    </w:p>
    <w:p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klasie trzeciej – cały materiał przewidziany dla IV etapu edukacyjnego.</w:t>
      </w:r>
    </w:p>
    <w:p>
      <w:pPr>
        <w:pStyle w:val="Normal"/>
        <w:ind w:left="1416" w:hanging="0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Podwyższenie oceny następuje wtedy, gdy sprawdzian roczny napisany jest co najmniej na ocenę o którą ubiega się uczeń. Sprawdzianu rocznego nie można poprawiać.</w:t>
      </w:r>
    </w:p>
    <w:p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napisanie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szkolnego testu kompetencji po danej klasie. </w:t>
      </w:r>
      <w:r>
        <w:rPr>
          <w:rFonts w:cs="Times New Roman" w:ascii="Times New Roman" w:hAnsi="Times New Roman"/>
          <w:color w:val="000000" w:themeColor="text1"/>
        </w:rPr>
        <w:t>Podwyższenie oceny następuje wtedy, gdy test kompetencji napisany jest co najmniej na ocenę o którą ubiega się uczeń. Szkolnego testu kompetencji nie można poprawiać.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lub jego rodzic może zwrócić się do nauczyciela o ustalenie wyższej oceny rocznej (śródrocznej) niż przewidywana. Nauczyciel prowadzący dokonuje analizy zasadności wniosku. W oparciu o tę analizę ocenę może podwyższyć lub utrzymać.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1105" w:leader="none"/>
        </w:tabs>
        <w:ind w:left="1105" w:hanging="397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 xml:space="preserve">Oceny śródroczne i roczne z matematyki muszą być wystawione najpóźniej na jeden dzień przed klasyfikacyjnym posiedzeniem Rady Pedagogicznej. </w:t>
      </w:r>
    </w:p>
    <w:p>
      <w:pPr>
        <w:pStyle w:val="Normal"/>
        <w:ind w:left="1105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WYRÓWNYWANIE BRAKÓW – OCENA NIEDOSTATECZNA ZA PIERWSZY OKRES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1"/>
        </w:numPr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uzyskuje niedostateczną ocenę śródroczną,  jeżeli nie spełnił wymagań edukacyjnych ustalonych na ocenę dopuszczającą.</w:t>
      </w:r>
    </w:p>
    <w:p>
      <w:pPr>
        <w:pStyle w:val="ListParagraph"/>
        <w:numPr>
          <w:ilvl w:val="0"/>
          <w:numId w:val="11"/>
        </w:numPr>
        <w:ind w:left="1068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TRYB ODWOŁANIA OD ROCZNEJ NIEDOSTATECZNEJ OCENY Z MATEMATYKI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Uczeń lub jego rodzice (prawni opiekunowie) mogą zgłosić zastrzeżenia do Dyrektora Szkoły, jeżeli uznają, że roczna ocena klasyfikacyjna z zajęć edukacyjnych została ustalona niezgodnie z przepisami prawa dotyczącymi trybu ustalania tej oceny. Zastrzeżenia mogą być zgłoszone w terminie do 7 dni po zakończeniu zajęć dydaktyczno – wychowawczych.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przypadku stwierdzenia, że roczna ocena klasyfikacyjna z zajęć edukacyjnych została ustalona niezgodnie z przepisami prawa dotyczącymi trybu ustalania tej oceny, Dyrektor Szkoły powołuje komisję, która przeprowadza sprawdzian wiadomości i umiejętności ucznia, w formie pisemnej i ustnej, oraz ustala roczną ocenę klasyfikacyjną  z danych zajęć edukacyjnych.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EGZAMIN POPRAWKOWY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w wyniku klasyfikacji rocznej uzyskał ocenę niedostateczną z jednych albo dwóch obowiązkowych zajęć edukacyjnych, może zdawać egzamin poprawkowy z tych zajęć.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Nauczyciel przedstawia uczniowi i jego rodzicom do końca roku szkolnego w formie pisemnej zakres materiału obowiązujący do egzaminu poprawkowego, obejmujący treści nauczania z całego roku szkolnego, odpowiadające poziomowi realizowanemu w klasie o danym profilu.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 i jego rodzice swoim podpisem poświadczają zapoznanie się z zakresem wymagań do egzaminu poprawkowego.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Egzamin poprawkowy składa się z części pisemnej oraz części ustnej.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Jeśli w części pisemnej egzaminu uczeń spełnił wymagania edukacyjne na ocenę pozytywną, komisja może odstąpić od przeprowadzania części ustnej. Egzamin uznaje się za zdany, a na świadectwie wpisuje się ocenę co najmniej dopuszczającą z danego przedmiotu.</w:t>
      </w:r>
    </w:p>
    <w:p>
      <w:pPr>
        <w:pStyle w:val="ListParagraph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Termin egzaminu poprawkowego wyznacza Dyrektor Szkoły do dnia zakończenia rocznych zajęć dydaktyczno – wychowawczych. Egzamin poprawkowy przeprowadza się w ostatnim tygodniu ferii letnich.</w:t>
      </w:r>
    </w:p>
    <w:p>
      <w:pPr>
        <w:pStyle w:val="Normal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>
      <w:pPr>
        <w:pStyle w:val="Normal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Uczeń, który nie zdał egzaminu poprawkowego, nie otrzymuje promocji do klasy programowo wyższej</w:t>
        <w:br/>
        <w:t>i powtarza klasę.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DOSTOSOWANIE WYMAGAŃ EDUKACYJNYCH DLA UCZNIÓW O SPECJALNYCH POTRZEBACH EDUKACYJNYCH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zdolnym</w:t>
      </w:r>
      <w:r>
        <w:rPr>
          <w:rFonts w:cs="Times New Roman" w:ascii="Times New Roman" w:hAnsi="Times New Roman"/>
          <w:color w:val="000000" w:themeColor="text1"/>
        </w:rPr>
        <w:t>, będzie polegała na motywowaniu go do większego wysiłku intelektualnego.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 pracy z uczniem zdolnym nauczyciel będzie :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wskazywał  dodatkowe źródła wiedzy, ciekawe zagadnienia;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wprowadzał  metody projektu skłaniającej ucznia do samodzielnych poszukiwań;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wykorzystania technologii informacyjnych jako źródła wiedzy i formy pracy;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ucznia do  twórczego rozwiązywania problemów;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motywował do udziału w konkursach i olimpiadach,</w:t>
      </w:r>
    </w:p>
    <w:p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powierzał uczniom zadania wykraczające poza standardy szkolne (np. samodzielne prowadzenie części lub całości zajęć lekcyjnych).</w:t>
      </w:r>
    </w:p>
    <w:p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Praca z uczniem o specyficznych trudnościach w nauce matematyki: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Podczas zajęć matematyki postępowanie wobec uczniów o udokumentowanych specyficznych trudnościach w nauce wynika z zaleceń po badaniach psychologiczno – pedagogicznych opisanych w aktach ucznia. 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3899454"/>
    </w:sdtPr>
    <w:sdtContent>
      <w:p>
        <w:pPr>
          <w:pStyle w:val="Stopka"/>
          <w:rPr/>
        </w:pPr>
        <w:r>
          <w:rPr>
            <w:rStyle w:val="Pagenumber"/>
            <w:rFonts w:cs="Times New Roman" w:ascii="Times New Roman" w:hAnsi="Times New Roman"/>
          </w:rPr>
          <w:fldChar w:fldCharType="begin"/>
        </w:r>
        <w:r>
          <w:rPr>
            <w:rStyle w:val="Pagenumber"/>
            <w:rFonts w:cs="Times New Roman" w:ascii="Times New Roman" w:hAnsi="Times New Roman"/>
          </w:rPr>
          <w:instrText> PAGE </w:instrText>
        </w:r>
        <w:r>
          <w:rPr>
            <w:rStyle w:val="Pagenumber"/>
            <w:rFonts w:cs="Times New Roman" w:ascii="Times New Roman" w:hAnsi="Times New Roman"/>
          </w:rPr>
          <w:fldChar w:fldCharType="separate"/>
        </w:r>
        <w:r>
          <w:rPr>
            <w:rStyle w:val="Pagenumber"/>
            <w:rFonts w:cs="Times New Roman" w:ascii="Times New Roman" w:hAnsi="Times New Roman"/>
          </w:rPr>
          <w:t>10</w:t>
        </w:r>
        <w:r>
          <w:rPr>
            <w:rStyle w:val="Pagenumber"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ind w:right="36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—————————————————————————————————————————————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2"/>
      <w:numFmt w:val="upp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1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4" w:hanging="180"/>
      </w:p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151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7" w:hanging="18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2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356"/>
        </w:tabs>
        <w:ind w:left="356" w:hanging="356"/>
      </w:pPr>
    </w:lvl>
    <w:lvl w:ilvl="1">
      <w:start w:val="1"/>
      <w:numFmt w:val="decimal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356"/>
        </w:tabs>
        <w:ind w:left="356" w:hanging="356"/>
      </w:pPr>
    </w:lvl>
    <w:lvl w:ilvl="1">
      <w:start w:val="1"/>
      <w:numFmt w:val="decimal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14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5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8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5369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5369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703c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703c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b2b5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b2b5a"/>
    <w:rPr/>
  </w:style>
  <w:style w:type="character" w:styleId="Pagenumber">
    <w:name w:val="page number"/>
    <w:basedOn w:val="DefaultParagraphFont"/>
    <w:uiPriority w:val="99"/>
    <w:semiHidden/>
    <w:unhideWhenUsed/>
    <w:qFormat/>
    <w:rsid w:val="00ea763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autoRedefine/>
    <w:uiPriority w:val="9"/>
    <w:qFormat/>
    <w:rsid w:val="00da0750"/>
    <w:pPr/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0750"/>
    <w:pPr>
      <w:spacing w:before="0" w:after="0"/>
      <w:ind w:left="720" w:hanging="0"/>
      <w:contextualSpacing/>
    </w:pPr>
    <w:rPr/>
  </w:style>
  <w:style w:type="paragraph" w:styleId="Paragraf" w:customStyle="1">
    <w:name w:val="Paragraf"/>
    <w:basedOn w:val="Index2"/>
    <w:next w:val="Normal"/>
    <w:autoRedefine/>
    <w:qFormat/>
    <w:rsid w:val="009267bb"/>
    <w:pPr>
      <w:spacing w:lineRule="auto" w:line="360" w:before="360" w:after="120"/>
      <w:ind w:left="0" w:hanging="0"/>
      <w:jc w:val="center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9267bb"/>
    <w:pPr>
      <w:ind w:left="440" w:hanging="22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703c8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b2b5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b2b5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Ustp" w:customStyle="1">
    <w:name w:val="Ustęp"/>
    <w:qFormat/>
    <w:rsid w:val="00da075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159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2akcent3">
    <w:name w:val="Grid Table 2 Accent 3"/>
    <w:basedOn w:val="Standardowy"/>
    <w:uiPriority w:val="47"/>
    <w:rsid w:val="00f67a5d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5">
    <w:name w:val="List Table 1 Light Accent 5"/>
    <w:basedOn w:val="Standardowy"/>
    <w:uiPriority w:val="46"/>
    <w:rsid w:val="00f67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Zwykatabela1">
    <w:name w:val="Plain Table 1"/>
    <w:basedOn w:val="Standardowy"/>
    <w:uiPriority w:val="41"/>
    <w:rsid w:val="00332e91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33c3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listy1jasnaakcent3">
    <w:name w:val="List Table 1 Light Accent 3"/>
    <w:basedOn w:val="Standardowy"/>
    <w:uiPriority w:val="46"/>
    <w:rsid w:val="00241e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LibreOffice/7.0.0.3$Windows_X86_64 LibreOffice_project/8061b3e9204bef6b321a21033174034a5e2ea88e</Application>
  <Pages>10</Pages>
  <Words>3804</Words>
  <Characters>24759</Characters>
  <CharactersWithSpaces>28319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2019-07-08T15:01:00Z</dcterms:created>
  <dc:creator>Radoslaw Bialek</dc:creator>
  <dc:description/>
  <dc:language>pl-PL</dc:language>
  <cp:lastModifiedBy/>
  <dcterms:modified xsi:type="dcterms:W3CDTF">2020-09-21T08:28:12Z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